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EE" w:rsidRDefault="00E745EE" w:rsidP="00E745EE">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ANEXO VII</w:t>
      </w:r>
    </w:p>
    <w:p w:rsidR="00E745EE" w:rsidRDefault="00E745EE" w:rsidP="00E745EE">
      <w:pPr>
        <w:pStyle w:val="Ttulo1"/>
        <w:ind w:left="0" w:right="0"/>
      </w:pPr>
      <w:r>
        <w:t>DOS CONCEITOS NORTEADORES</w:t>
      </w:r>
    </w:p>
    <w:p w:rsidR="00E745EE" w:rsidRDefault="00E745EE" w:rsidP="00E745EE">
      <w:pPr>
        <w:pBdr>
          <w:top w:val="nil"/>
          <w:left w:val="nil"/>
          <w:bottom w:val="nil"/>
          <w:right w:val="nil"/>
          <w:between w:val="nil"/>
        </w:pBdr>
        <w:rPr>
          <w:rFonts w:ascii="Arial" w:eastAsia="Arial" w:hAnsi="Arial" w:cs="Arial"/>
          <w:b/>
          <w:color w:val="000000"/>
          <w:sz w:val="24"/>
          <w:szCs w:val="24"/>
        </w:rPr>
      </w:pPr>
    </w:p>
    <w:p w:rsidR="00E745EE" w:rsidRDefault="00E745EE" w:rsidP="00E745E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São conceitos norteadores deste edital:</w:t>
      </w:r>
    </w:p>
    <w:p w:rsidR="00E745EE" w:rsidRDefault="00E745EE" w:rsidP="00E745EE">
      <w:pPr>
        <w:pBdr>
          <w:top w:val="nil"/>
          <w:left w:val="nil"/>
          <w:bottom w:val="nil"/>
          <w:right w:val="nil"/>
          <w:between w:val="nil"/>
        </w:pBdr>
        <w:rPr>
          <w:rFonts w:ascii="Arial" w:eastAsia="Arial" w:hAnsi="Arial" w:cs="Arial"/>
          <w:color w:val="000000"/>
          <w:sz w:val="24"/>
          <w:szCs w:val="24"/>
        </w:rPr>
      </w:pPr>
    </w:p>
    <w:p w:rsidR="00E745EE" w:rsidRDefault="00E745EE" w:rsidP="00E745EE">
      <w:pPr>
        <w:pBdr>
          <w:top w:val="nil"/>
          <w:left w:val="nil"/>
          <w:bottom w:val="nil"/>
          <w:right w:val="nil"/>
          <w:between w:val="nil"/>
        </w:pBdr>
        <w:rPr>
          <w:rFonts w:ascii="Arial" w:eastAsia="Arial" w:hAnsi="Arial" w:cs="Arial"/>
          <w:color w:val="000000"/>
          <w:sz w:val="24"/>
          <w:szCs w:val="24"/>
        </w:rPr>
      </w:pPr>
    </w:p>
    <w:p w:rsidR="00E745EE" w:rsidRDefault="00E745EE" w:rsidP="00E745EE">
      <w:pPr>
        <w:pBdr>
          <w:top w:val="nil"/>
          <w:left w:val="nil"/>
          <w:bottom w:val="nil"/>
          <w:right w:val="nil"/>
          <w:between w:val="nil"/>
        </w:pBdr>
        <w:tabs>
          <w:tab w:val="left" w:pos="1740"/>
        </w:tabs>
        <w:jc w:val="both"/>
        <w:rPr>
          <w:rFonts w:ascii="Arial" w:eastAsia="Arial" w:hAnsi="Arial" w:cs="Arial"/>
          <w:color w:val="000000"/>
        </w:rPr>
      </w:pPr>
      <w:r>
        <w:rPr>
          <w:rFonts w:ascii="Arial" w:eastAsia="Arial" w:hAnsi="Arial" w:cs="Arial"/>
          <w:color w:val="000000"/>
          <w:sz w:val="24"/>
          <w:szCs w:val="24"/>
        </w:rPr>
        <w:t xml:space="preserve">1. </w:t>
      </w:r>
      <w:r>
        <w:rPr>
          <w:rFonts w:ascii="Arial" w:eastAsia="Arial" w:hAnsi="Arial" w:cs="Arial"/>
          <w:color w:val="000000"/>
          <w:sz w:val="24"/>
          <w:szCs w:val="24"/>
        </w:rPr>
        <w:t>Composição familiar: a unidade nuclear composta por uma ou mais pessoas, eventualmente ampliada por outras pessoas que contribuam para o rendimento ou tenham suas despesas atendidas por aquela unidade familiar, todas moradoras do mesmo domicílio, de acordo com Decreto 6.135/06/2007;</w:t>
      </w:r>
    </w:p>
    <w:p w:rsidR="00E745EE" w:rsidRDefault="00E745EE" w:rsidP="00E745EE">
      <w:pPr>
        <w:pBdr>
          <w:top w:val="nil"/>
          <w:left w:val="nil"/>
          <w:bottom w:val="nil"/>
          <w:right w:val="nil"/>
          <w:between w:val="nil"/>
        </w:pBdr>
        <w:rPr>
          <w:rFonts w:ascii="Arial" w:eastAsia="Arial" w:hAnsi="Arial" w:cs="Arial"/>
          <w:color w:val="000000"/>
          <w:sz w:val="24"/>
          <w:szCs w:val="24"/>
        </w:rPr>
      </w:pPr>
    </w:p>
    <w:p w:rsidR="00E745EE" w:rsidRDefault="00E745EE" w:rsidP="00E745EE">
      <w:pPr>
        <w:pBdr>
          <w:top w:val="nil"/>
          <w:left w:val="nil"/>
          <w:bottom w:val="nil"/>
          <w:right w:val="nil"/>
          <w:between w:val="nil"/>
        </w:pBdr>
        <w:tabs>
          <w:tab w:val="left" w:pos="1740"/>
        </w:tabs>
        <w:jc w:val="both"/>
        <w:rPr>
          <w:rFonts w:ascii="Arial" w:eastAsia="Arial" w:hAnsi="Arial" w:cs="Arial"/>
          <w:color w:val="000000"/>
        </w:rPr>
      </w:pPr>
      <w:r>
        <w:rPr>
          <w:rFonts w:ascii="Arial" w:eastAsia="Arial" w:hAnsi="Arial" w:cs="Arial"/>
          <w:color w:val="000000"/>
          <w:sz w:val="24"/>
          <w:szCs w:val="24"/>
        </w:rPr>
        <w:t xml:space="preserve">2. </w:t>
      </w:r>
      <w:r>
        <w:rPr>
          <w:rFonts w:ascii="Arial" w:eastAsia="Arial" w:hAnsi="Arial" w:cs="Arial"/>
          <w:color w:val="000000"/>
          <w:sz w:val="24"/>
          <w:szCs w:val="24"/>
        </w:rPr>
        <w:t>Renda bruta per capita do núcleo/arranjo familiar: será apurada de acordo com o seguinte procedimento, embasado no Art. 49 da Portaria nº 209, de 7 de março de 2018 – MEC:</w:t>
      </w:r>
    </w:p>
    <w:p w:rsidR="00E745EE" w:rsidRPr="00E745EE" w:rsidRDefault="00E745EE" w:rsidP="00E745EE">
      <w:pPr>
        <w:pStyle w:val="PargrafodaLista"/>
        <w:numPr>
          <w:ilvl w:val="0"/>
          <w:numId w:val="7"/>
        </w:numPr>
        <w:pBdr>
          <w:top w:val="nil"/>
          <w:left w:val="nil"/>
          <w:bottom w:val="nil"/>
          <w:right w:val="nil"/>
          <w:between w:val="nil"/>
        </w:pBdr>
        <w:tabs>
          <w:tab w:val="left" w:pos="1740"/>
        </w:tabs>
        <w:ind w:left="567"/>
        <w:jc w:val="both"/>
        <w:rPr>
          <w:rFonts w:ascii="Arial" w:eastAsia="Arial" w:hAnsi="Arial" w:cs="Arial"/>
          <w:color w:val="000000"/>
        </w:rPr>
      </w:pPr>
      <w:r>
        <w:rPr>
          <w:rFonts w:ascii="Arial" w:eastAsia="Arial" w:hAnsi="Arial" w:cs="Arial"/>
          <w:color w:val="000000"/>
          <w:sz w:val="24"/>
          <w:szCs w:val="24"/>
        </w:rPr>
        <w:t xml:space="preserve">- </w:t>
      </w:r>
      <w:r w:rsidRPr="00E745EE">
        <w:rPr>
          <w:rFonts w:ascii="Arial" w:eastAsia="Arial" w:hAnsi="Arial" w:cs="Arial"/>
          <w:color w:val="000000"/>
          <w:sz w:val="24"/>
          <w:szCs w:val="24"/>
        </w:rPr>
        <w:t>calcula-se a soma dos rendimentos brutos auferidos por todos os membros do grupo familiar a que pertence cada discente, levando-se em conta, no mínimo, os três meses anteriores ao comparecimento para aferição das informações pela instituição;</w:t>
      </w:r>
    </w:p>
    <w:p w:rsidR="00E745EE" w:rsidRPr="00E745EE" w:rsidRDefault="00E745EE" w:rsidP="00E745EE">
      <w:pPr>
        <w:pStyle w:val="PargrafodaLista"/>
        <w:numPr>
          <w:ilvl w:val="0"/>
          <w:numId w:val="7"/>
        </w:numPr>
        <w:pBdr>
          <w:top w:val="nil"/>
          <w:left w:val="nil"/>
          <w:bottom w:val="nil"/>
          <w:right w:val="nil"/>
          <w:between w:val="nil"/>
        </w:pBdr>
        <w:tabs>
          <w:tab w:val="left" w:pos="1740"/>
        </w:tabs>
        <w:spacing w:after="120"/>
        <w:ind w:left="567"/>
        <w:jc w:val="both"/>
        <w:rPr>
          <w:rFonts w:ascii="Arial" w:eastAsia="Arial" w:hAnsi="Arial" w:cs="Arial"/>
          <w:color w:val="000000"/>
        </w:rPr>
      </w:pPr>
      <w:r w:rsidRPr="00E745EE">
        <w:rPr>
          <w:rFonts w:ascii="Arial" w:eastAsia="Arial" w:hAnsi="Arial" w:cs="Arial"/>
          <w:color w:val="000000"/>
          <w:sz w:val="24"/>
          <w:szCs w:val="24"/>
        </w:rPr>
        <w:t>- calcula-se a média mensal dos rendimentos brutos apurados; e III - divide-se o valor apurado pelo número de membros do grupo familiar d</w:t>
      </w:r>
      <w:r w:rsidRPr="00E745EE">
        <w:rPr>
          <w:rFonts w:ascii="Arial" w:eastAsia="Arial" w:hAnsi="Arial" w:cs="Arial"/>
          <w:sz w:val="24"/>
          <w:szCs w:val="24"/>
        </w:rPr>
        <w:t>e cada</w:t>
      </w:r>
      <w:r w:rsidRPr="00E745EE">
        <w:rPr>
          <w:rFonts w:ascii="Arial" w:eastAsia="Arial" w:hAnsi="Arial" w:cs="Arial"/>
          <w:color w:val="000000"/>
          <w:sz w:val="24"/>
          <w:szCs w:val="24"/>
        </w:rPr>
        <w:t xml:space="preserve"> discente.</w:t>
      </w:r>
    </w:p>
    <w:p w:rsidR="00E745EE" w:rsidRDefault="00E745EE" w:rsidP="00E745EE">
      <w:pPr>
        <w:pBdr>
          <w:top w:val="nil"/>
          <w:left w:val="nil"/>
          <w:bottom w:val="nil"/>
          <w:right w:val="nil"/>
          <w:between w:val="nil"/>
        </w:pBdr>
        <w:tabs>
          <w:tab w:val="left" w:pos="1740"/>
        </w:tabs>
        <w:jc w:val="both"/>
        <w:rPr>
          <w:rFonts w:ascii="Arial" w:eastAsia="Arial" w:hAnsi="Arial" w:cs="Arial"/>
          <w:color w:val="000000"/>
        </w:rPr>
      </w:pPr>
      <w:r>
        <w:rPr>
          <w:rFonts w:ascii="Arial" w:eastAsia="Arial" w:hAnsi="Arial" w:cs="Arial"/>
          <w:color w:val="000000"/>
          <w:sz w:val="24"/>
          <w:szCs w:val="24"/>
        </w:rPr>
        <w:t xml:space="preserve">a) </w:t>
      </w:r>
      <w:r>
        <w:rPr>
          <w:rFonts w:ascii="Arial" w:eastAsia="Arial" w:hAnsi="Arial" w:cs="Arial"/>
          <w:color w:val="000000"/>
          <w:sz w:val="24"/>
          <w:szCs w:val="24"/>
        </w:rPr>
        <w:t xml:space="preserve">No cálculo referido no inciso II serão computados os rendimentos de qualquer natureza percebidos pelos membros do grupo familiar, a título regular ou eventual, inclusive aqueles provenientes, pensão alimentícia no caso de decisão judicial, acordo homologado judicialmente ou escritura pública que assim o determine ou declaração de pensão alimentícia </w:t>
      </w:r>
      <w:r>
        <w:rPr>
          <w:rFonts w:ascii="Arial" w:eastAsia="Arial" w:hAnsi="Arial" w:cs="Arial"/>
          <w:sz w:val="24"/>
          <w:szCs w:val="24"/>
        </w:rPr>
        <w:t>extrajudicial</w:t>
      </w:r>
      <w:r>
        <w:rPr>
          <w:rFonts w:ascii="Arial" w:eastAsia="Arial" w:hAnsi="Arial" w:cs="Arial"/>
          <w:color w:val="000000"/>
          <w:sz w:val="24"/>
          <w:szCs w:val="24"/>
        </w:rPr>
        <w:t>, ainda de locação ou de arrendamento de bens móveis e imóveis, e qualquer auxílio financeiro regular prestado por pessoa que não faça parte do grupo familiar.</w:t>
      </w:r>
    </w:p>
    <w:p w:rsidR="00E745EE" w:rsidRDefault="00E745EE" w:rsidP="00E745EE">
      <w:pPr>
        <w:pBdr>
          <w:top w:val="nil"/>
          <w:left w:val="nil"/>
          <w:bottom w:val="nil"/>
          <w:right w:val="nil"/>
          <w:between w:val="nil"/>
        </w:pBdr>
        <w:tabs>
          <w:tab w:val="left" w:pos="1740"/>
        </w:tabs>
        <w:spacing w:after="120"/>
        <w:jc w:val="both"/>
        <w:rPr>
          <w:rFonts w:ascii="Arial" w:eastAsia="Arial" w:hAnsi="Arial" w:cs="Arial"/>
          <w:color w:val="000000"/>
        </w:rPr>
      </w:pPr>
      <w:r>
        <w:rPr>
          <w:rFonts w:ascii="Arial" w:eastAsia="Arial" w:hAnsi="Arial" w:cs="Arial"/>
          <w:color w:val="000000"/>
          <w:sz w:val="24"/>
          <w:szCs w:val="24"/>
        </w:rPr>
        <w:t xml:space="preserve">b) </w:t>
      </w:r>
      <w:r>
        <w:rPr>
          <w:rFonts w:ascii="Arial" w:eastAsia="Arial" w:hAnsi="Arial" w:cs="Arial"/>
          <w:color w:val="000000"/>
          <w:sz w:val="24"/>
          <w:szCs w:val="24"/>
        </w:rPr>
        <w:t>Estão excluídos do cálculo da renda bruta per capita do núcleo/arranjo familiar:</w:t>
      </w:r>
    </w:p>
    <w:p w:rsidR="00E745EE" w:rsidRDefault="00E745EE" w:rsidP="00E745EE">
      <w:pPr>
        <w:numPr>
          <w:ilvl w:val="0"/>
          <w:numId w:val="5"/>
        </w:numPr>
        <w:pBdr>
          <w:top w:val="nil"/>
          <w:left w:val="nil"/>
          <w:bottom w:val="nil"/>
          <w:right w:val="nil"/>
          <w:between w:val="nil"/>
        </w:pBdr>
        <w:tabs>
          <w:tab w:val="left" w:pos="1740"/>
        </w:tabs>
        <w:ind w:left="0" w:firstLine="0"/>
        <w:jc w:val="both"/>
        <w:rPr>
          <w:rFonts w:ascii="Arial" w:eastAsia="Arial" w:hAnsi="Arial" w:cs="Arial"/>
          <w:color w:val="000000"/>
        </w:rPr>
      </w:pPr>
      <w:r>
        <w:rPr>
          <w:rFonts w:ascii="Arial" w:eastAsia="Arial" w:hAnsi="Arial" w:cs="Arial"/>
          <w:color w:val="000000"/>
          <w:sz w:val="24"/>
          <w:szCs w:val="24"/>
        </w:rPr>
        <w:t>- os valores percebidos a título de:</w:t>
      </w:r>
    </w:p>
    <w:p w:rsidR="00E745EE" w:rsidRDefault="00E745EE" w:rsidP="00E745EE">
      <w:pPr>
        <w:numPr>
          <w:ilvl w:val="0"/>
          <w:numId w:val="4"/>
        </w:numPr>
        <w:pBdr>
          <w:top w:val="nil"/>
          <w:left w:val="nil"/>
          <w:bottom w:val="nil"/>
          <w:right w:val="nil"/>
          <w:between w:val="nil"/>
        </w:pBdr>
        <w:ind w:left="283" w:hanging="283"/>
        <w:jc w:val="both"/>
        <w:rPr>
          <w:rFonts w:ascii="Arial" w:eastAsia="Arial" w:hAnsi="Arial" w:cs="Arial"/>
          <w:color w:val="000000"/>
        </w:rPr>
      </w:pPr>
      <w:r>
        <w:rPr>
          <w:rFonts w:ascii="Arial" w:eastAsia="Arial" w:hAnsi="Arial" w:cs="Arial"/>
          <w:color w:val="000000"/>
          <w:sz w:val="24"/>
          <w:szCs w:val="24"/>
        </w:rPr>
        <w:t>auxílios para alimentação e transporte;</w:t>
      </w:r>
    </w:p>
    <w:p w:rsidR="00E745EE" w:rsidRDefault="00E745EE" w:rsidP="00E745EE">
      <w:pPr>
        <w:numPr>
          <w:ilvl w:val="0"/>
          <w:numId w:val="4"/>
        </w:numPr>
        <w:pBdr>
          <w:top w:val="nil"/>
          <w:left w:val="nil"/>
          <w:bottom w:val="nil"/>
          <w:right w:val="nil"/>
          <w:between w:val="nil"/>
        </w:pBdr>
        <w:ind w:left="283" w:hanging="283"/>
        <w:jc w:val="both"/>
        <w:rPr>
          <w:rFonts w:ascii="Arial" w:eastAsia="Arial" w:hAnsi="Arial" w:cs="Arial"/>
          <w:color w:val="000000"/>
        </w:rPr>
      </w:pPr>
      <w:r>
        <w:rPr>
          <w:rFonts w:ascii="Arial" w:eastAsia="Arial" w:hAnsi="Arial" w:cs="Arial"/>
          <w:color w:val="000000"/>
          <w:sz w:val="24"/>
          <w:szCs w:val="24"/>
        </w:rPr>
        <w:t>diárias e reembolsos de despesas;</w:t>
      </w:r>
    </w:p>
    <w:p w:rsidR="00E745EE" w:rsidRDefault="00E745EE" w:rsidP="00E745EE">
      <w:pPr>
        <w:numPr>
          <w:ilvl w:val="0"/>
          <w:numId w:val="4"/>
        </w:numPr>
        <w:pBdr>
          <w:top w:val="nil"/>
          <w:left w:val="nil"/>
          <w:bottom w:val="nil"/>
          <w:right w:val="nil"/>
          <w:between w:val="nil"/>
        </w:pBdr>
        <w:ind w:left="283" w:hanging="283"/>
        <w:jc w:val="both"/>
        <w:rPr>
          <w:rFonts w:ascii="Arial" w:eastAsia="Arial" w:hAnsi="Arial" w:cs="Arial"/>
          <w:color w:val="000000"/>
        </w:rPr>
      </w:pPr>
      <w:r>
        <w:rPr>
          <w:rFonts w:ascii="Arial" w:eastAsia="Arial" w:hAnsi="Arial" w:cs="Arial"/>
          <w:color w:val="000000"/>
          <w:sz w:val="24"/>
          <w:szCs w:val="24"/>
        </w:rPr>
        <w:t>adiantamentos e antecipações;</w:t>
      </w:r>
    </w:p>
    <w:p w:rsidR="00E745EE" w:rsidRDefault="00E745EE" w:rsidP="00E745EE">
      <w:pPr>
        <w:numPr>
          <w:ilvl w:val="0"/>
          <w:numId w:val="4"/>
        </w:numPr>
        <w:pBdr>
          <w:top w:val="nil"/>
          <w:left w:val="nil"/>
          <w:bottom w:val="nil"/>
          <w:right w:val="nil"/>
          <w:between w:val="nil"/>
        </w:pBdr>
        <w:ind w:left="283" w:hanging="283"/>
        <w:jc w:val="both"/>
        <w:rPr>
          <w:rFonts w:ascii="Arial" w:eastAsia="Arial" w:hAnsi="Arial" w:cs="Arial"/>
          <w:sz w:val="24"/>
          <w:szCs w:val="24"/>
        </w:rPr>
      </w:pPr>
      <w:r>
        <w:rPr>
          <w:rFonts w:ascii="Arial" w:eastAsia="Arial" w:hAnsi="Arial" w:cs="Arial"/>
          <w:sz w:val="24"/>
          <w:szCs w:val="24"/>
        </w:rPr>
        <w:t>férias e décimo terceiro</w:t>
      </w:r>
    </w:p>
    <w:p w:rsidR="00E745EE" w:rsidRDefault="00E745EE" w:rsidP="00E745EE">
      <w:pPr>
        <w:numPr>
          <w:ilvl w:val="0"/>
          <w:numId w:val="4"/>
        </w:numPr>
        <w:pBdr>
          <w:top w:val="nil"/>
          <w:left w:val="nil"/>
          <w:bottom w:val="nil"/>
          <w:right w:val="nil"/>
          <w:between w:val="nil"/>
        </w:pBdr>
        <w:ind w:left="283" w:hanging="283"/>
        <w:jc w:val="both"/>
        <w:rPr>
          <w:rFonts w:ascii="Arial" w:eastAsia="Arial" w:hAnsi="Arial" w:cs="Arial"/>
          <w:sz w:val="24"/>
          <w:szCs w:val="24"/>
        </w:rPr>
      </w:pPr>
      <w:r>
        <w:rPr>
          <w:rFonts w:ascii="Arial" w:eastAsia="Arial" w:hAnsi="Arial" w:cs="Arial"/>
          <w:color w:val="000000"/>
          <w:sz w:val="24"/>
          <w:szCs w:val="24"/>
        </w:rPr>
        <w:t>estornos e compensações referentes a períodos anteriores;</w:t>
      </w:r>
    </w:p>
    <w:p w:rsidR="00E745EE" w:rsidRDefault="00E745EE" w:rsidP="00E745EE">
      <w:pPr>
        <w:numPr>
          <w:ilvl w:val="0"/>
          <w:numId w:val="4"/>
        </w:numPr>
        <w:pBdr>
          <w:top w:val="nil"/>
          <w:left w:val="nil"/>
          <w:bottom w:val="nil"/>
          <w:right w:val="nil"/>
          <w:between w:val="nil"/>
        </w:pBdr>
        <w:ind w:left="283" w:hanging="283"/>
        <w:jc w:val="both"/>
        <w:rPr>
          <w:rFonts w:ascii="Arial" w:eastAsia="Arial" w:hAnsi="Arial" w:cs="Arial"/>
          <w:sz w:val="24"/>
          <w:szCs w:val="24"/>
        </w:rPr>
      </w:pPr>
      <w:r>
        <w:rPr>
          <w:rFonts w:ascii="Arial" w:eastAsia="Arial" w:hAnsi="Arial" w:cs="Arial"/>
          <w:color w:val="000000"/>
          <w:sz w:val="24"/>
          <w:szCs w:val="24"/>
        </w:rPr>
        <w:t>indenizações decorrentes de contratos de seguros;</w:t>
      </w:r>
    </w:p>
    <w:p w:rsidR="00E745EE" w:rsidRDefault="00E745EE" w:rsidP="00E745EE">
      <w:pPr>
        <w:numPr>
          <w:ilvl w:val="0"/>
          <w:numId w:val="4"/>
        </w:numPr>
        <w:pBdr>
          <w:top w:val="nil"/>
          <w:left w:val="nil"/>
          <w:bottom w:val="nil"/>
          <w:right w:val="nil"/>
          <w:between w:val="nil"/>
        </w:pBdr>
        <w:ind w:left="283" w:hanging="283"/>
        <w:jc w:val="both"/>
        <w:rPr>
          <w:rFonts w:ascii="Arial" w:eastAsia="Arial" w:hAnsi="Arial" w:cs="Arial"/>
          <w:sz w:val="24"/>
          <w:szCs w:val="24"/>
        </w:rPr>
      </w:pPr>
      <w:r>
        <w:rPr>
          <w:rFonts w:ascii="Arial" w:eastAsia="Arial" w:hAnsi="Arial" w:cs="Arial"/>
          <w:color w:val="000000"/>
          <w:sz w:val="24"/>
          <w:szCs w:val="24"/>
        </w:rPr>
        <w:t>indenizações por danos materiais e morais por força de decisão judicial;</w:t>
      </w:r>
    </w:p>
    <w:p w:rsidR="00E745EE" w:rsidRDefault="00E745EE" w:rsidP="00E745EE">
      <w:pPr>
        <w:numPr>
          <w:ilvl w:val="0"/>
          <w:numId w:val="5"/>
        </w:numPr>
        <w:pBdr>
          <w:top w:val="nil"/>
          <w:left w:val="nil"/>
          <w:bottom w:val="nil"/>
          <w:right w:val="nil"/>
          <w:between w:val="nil"/>
        </w:pBdr>
        <w:tabs>
          <w:tab w:val="left" w:pos="1740"/>
        </w:tabs>
        <w:ind w:left="0" w:firstLine="0"/>
        <w:jc w:val="both"/>
        <w:rPr>
          <w:rFonts w:ascii="Arial" w:eastAsia="Arial" w:hAnsi="Arial" w:cs="Arial"/>
          <w:color w:val="000000"/>
        </w:rPr>
      </w:pPr>
      <w:r>
        <w:rPr>
          <w:rFonts w:ascii="Arial" w:eastAsia="Arial" w:hAnsi="Arial" w:cs="Arial"/>
          <w:color w:val="000000"/>
          <w:sz w:val="24"/>
          <w:szCs w:val="24"/>
        </w:rPr>
        <w:t>- os rendimentos percebidos no âmbito dos programas socioassistenciais implementados pela União, Estados, Distrito Federal ou Municípios.</w:t>
      </w:r>
    </w:p>
    <w:p w:rsidR="00E745EE" w:rsidRDefault="00E745EE" w:rsidP="00E745EE">
      <w:pPr>
        <w:numPr>
          <w:ilvl w:val="0"/>
          <w:numId w:val="5"/>
        </w:numPr>
        <w:pBdr>
          <w:top w:val="nil"/>
          <w:left w:val="nil"/>
          <w:bottom w:val="nil"/>
          <w:right w:val="nil"/>
          <w:between w:val="nil"/>
        </w:pBdr>
        <w:tabs>
          <w:tab w:val="left" w:pos="1740"/>
        </w:tabs>
        <w:ind w:left="0" w:firstLine="0"/>
        <w:jc w:val="both"/>
        <w:rPr>
          <w:rFonts w:ascii="Arial" w:eastAsia="Arial" w:hAnsi="Arial" w:cs="Arial"/>
          <w:color w:val="000000"/>
        </w:rPr>
      </w:pPr>
      <w:r>
        <w:rPr>
          <w:rFonts w:ascii="Arial" w:eastAsia="Arial" w:hAnsi="Arial" w:cs="Arial"/>
          <w:color w:val="000000"/>
          <w:sz w:val="24"/>
          <w:szCs w:val="24"/>
        </w:rPr>
        <w:t>- o montante pago pelo alimentante a título de pensão alimentícia, exclusivamente no caso de decisão judicial, acordo homologado judicialmente ou escritura pública que assim o determine.</w:t>
      </w:r>
    </w:p>
    <w:p w:rsidR="00E745EE" w:rsidRDefault="00E745EE" w:rsidP="00E745EE">
      <w:pPr>
        <w:pBdr>
          <w:top w:val="nil"/>
          <w:left w:val="nil"/>
          <w:bottom w:val="nil"/>
          <w:right w:val="nil"/>
          <w:between w:val="nil"/>
        </w:pBdr>
        <w:rPr>
          <w:rFonts w:ascii="Arial" w:eastAsia="Arial" w:hAnsi="Arial" w:cs="Arial"/>
          <w:color w:val="000000"/>
          <w:sz w:val="24"/>
          <w:szCs w:val="24"/>
        </w:rPr>
      </w:pPr>
    </w:p>
    <w:p w:rsidR="00E745EE" w:rsidRDefault="00E745EE" w:rsidP="00E745EE">
      <w:pPr>
        <w:pBdr>
          <w:top w:val="nil"/>
          <w:left w:val="nil"/>
          <w:bottom w:val="nil"/>
          <w:right w:val="nil"/>
          <w:between w:val="nil"/>
        </w:pBdr>
        <w:tabs>
          <w:tab w:val="left" w:pos="1740"/>
        </w:tabs>
        <w:jc w:val="both"/>
        <w:rPr>
          <w:rFonts w:ascii="Arial" w:eastAsia="Arial" w:hAnsi="Arial" w:cs="Arial"/>
          <w:color w:val="000000"/>
        </w:rPr>
      </w:pPr>
      <w:r>
        <w:rPr>
          <w:rFonts w:ascii="Arial" w:eastAsia="Arial" w:hAnsi="Arial" w:cs="Arial"/>
          <w:sz w:val="24"/>
          <w:szCs w:val="24"/>
        </w:rPr>
        <w:t xml:space="preserve">3. </w:t>
      </w:r>
      <w:r>
        <w:rPr>
          <w:rFonts w:ascii="Arial" w:eastAsia="Arial" w:hAnsi="Arial" w:cs="Arial"/>
          <w:color w:val="000000"/>
          <w:sz w:val="24"/>
          <w:szCs w:val="24"/>
        </w:rPr>
        <w:t>Apuração da Renda per capita: É a soma dos rendimentos brutos de todos os membros, que residam no mesmo domicílio, dividida pelo número total de pessoas que compõem o núcleo/arranjo familiar;</w:t>
      </w:r>
    </w:p>
    <w:p w:rsidR="00E745EE" w:rsidRDefault="00E745EE" w:rsidP="00E745EE">
      <w:pPr>
        <w:pBdr>
          <w:top w:val="nil"/>
          <w:left w:val="nil"/>
          <w:bottom w:val="nil"/>
          <w:right w:val="nil"/>
          <w:between w:val="nil"/>
        </w:pBdr>
        <w:tabs>
          <w:tab w:val="left" w:pos="1740"/>
        </w:tabs>
        <w:jc w:val="both"/>
        <w:rPr>
          <w:rFonts w:ascii="Arial" w:eastAsia="Arial" w:hAnsi="Arial" w:cs="Arial"/>
          <w:color w:val="000000"/>
        </w:rPr>
      </w:pPr>
      <w:r>
        <w:rPr>
          <w:rFonts w:ascii="Arial" w:eastAsia="Arial" w:hAnsi="Arial" w:cs="Arial"/>
          <w:sz w:val="24"/>
          <w:szCs w:val="24"/>
        </w:rPr>
        <w:lastRenderedPageBreak/>
        <w:t xml:space="preserve">a) </w:t>
      </w:r>
      <w:r>
        <w:rPr>
          <w:rFonts w:ascii="Arial" w:eastAsia="Arial" w:hAnsi="Arial" w:cs="Arial"/>
          <w:color w:val="000000"/>
          <w:sz w:val="24"/>
          <w:szCs w:val="24"/>
        </w:rPr>
        <w:t>Para os membros do grupo familiar que possuam renda própria, seus rendimentos brutos individuais deverão ser declarados na composição da renda familiar mensal bruta.</w:t>
      </w:r>
    </w:p>
    <w:p w:rsidR="00E745EE" w:rsidRDefault="00E745EE" w:rsidP="00E745EE">
      <w:pPr>
        <w:pBdr>
          <w:top w:val="nil"/>
          <w:left w:val="nil"/>
          <w:bottom w:val="nil"/>
          <w:right w:val="nil"/>
          <w:between w:val="nil"/>
        </w:pBdr>
        <w:tabs>
          <w:tab w:val="left" w:pos="1740"/>
        </w:tabs>
        <w:jc w:val="both"/>
        <w:rPr>
          <w:rFonts w:ascii="Arial" w:eastAsia="Arial" w:hAnsi="Arial" w:cs="Arial"/>
          <w:color w:val="000000"/>
        </w:rPr>
      </w:pPr>
      <w:r>
        <w:rPr>
          <w:rFonts w:ascii="Arial" w:eastAsia="Arial" w:hAnsi="Arial" w:cs="Arial"/>
          <w:sz w:val="24"/>
          <w:szCs w:val="24"/>
        </w:rPr>
        <w:t xml:space="preserve">b) </w:t>
      </w:r>
      <w:r>
        <w:rPr>
          <w:rFonts w:ascii="Arial" w:eastAsia="Arial" w:hAnsi="Arial" w:cs="Arial"/>
          <w:color w:val="000000"/>
          <w:sz w:val="24"/>
          <w:szCs w:val="24"/>
        </w:rPr>
        <w:t>Para os membros do grupo familiar que não possuam renda própria, a relação de dependência deverá ser comprovada por meio de documentos emitidos ou reconhecidos por órgãos oficiais ou pela fonte pagadora dos rendimentos de qualquer um dos componentes do grupo familiar ou na Declaração de Desemprego.</w:t>
      </w:r>
    </w:p>
    <w:p w:rsidR="00E745EE" w:rsidRDefault="00E745EE" w:rsidP="00E745EE">
      <w:pPr>
        <w:pBdr>
          <w:top w:val="nil"/>
          <w:left w:val="nil"/>
          <w:bottom w:val="nil"/>
          <w:right w:val="nil"/>
          <w:between w:val="nil"/>
        </w:pBdr>
        <w:tabs>
          <w:tab w:val="left" w:pos="1740"/>
        </w:tabs>
        <w:jc w:val="both"/>
        <w:rPr>
          <w:rFonts w:ascii="Arial" w:eastAsia="Arial" w:hAnsi="Arial" w:cs="Arial"/>
          <w:color w:val="000000"/>
        </w:rPr>
      </w:pPr>
      <w:r>
        <w:rPr>
          <w:rFonts w:ascii="Arial" w:eastAsia="Arial" w:hAnsi="Arial" w:cs="Arial"/>
          <w:sz w:val="24"/>
          <w:szCs w:val="24"/>
        </w:rPr>
        <w:t>c) D</w:t>
      </w:r>
      <w:r>
        <w:rPr>
          <w:rFonts w:ascii="Arial" w:eastAsia="Arial" w:hAnsi="Arial" w:cs="Arial"/>
          <w:color w:val="000000"/>
          <w:sz w:val="24"/>
          <w:szCs w:val="24"/>
        </w:rPr>
        <w:t xml:space="preserve">iscente que informar grupo familiar com o qual não compartilhe o domicílio, </w:t>
      </w:r>
      <w:r>
        <w:rPr>
          <w:rFonts w:ascii="Arial" w:eastAsia="Arial" w:hAnsi="Arial" w:cs="Arial"/>
          <w:sz w:val="24"/>
          <w:szCs w:val="24"/>
        </w:rPr>
        <w:t>será reprovado</w:t>
      </w:r>
      <w:r>
        <w:rPr>
          <w:rFonts w:ascii="Arial" w:eastAsia="Arial" w:hAnsi="Arial" w:cs="Arial"/>
          <w:color w:val="000000"/>
          <w:sz w:val="24"/>
          <w:szCs w:val="24"/>
        </w:rPr>
        <w:t>.</w:t>
      </w:r>
    </w:p>
    <w:p w:rsidR="00E745EE" w:rsidRDefault="00E745EE" w:rsidP="00E745EE">
      <w:pPr>
        <w:pBdr>
          <w:top w:val="nil"/>
          <w:left w:val="nil"/>
          <w:bottom w:val="nil"/>
          <w:right w:val="nil"/>
          <w:between w:val="nil"/>
        </w:pBdr>
        <w:tabs>
          <w:tab w:val="left" w:pos="1740"/>
        </w:tabs>
        <w:jc w:val="both"/>
        <w:rPr>
          <w:rFonts w:ascii="Arial" w:eastAsia="Arial" w:hAnsi="Arial" w:cs="Arial"/>
          <w:color w:val="000000"/>
        </w:rPr>
      </w:pPr>
      <w:r>
        <w:rPr>
          <w:rFonts w:ascii="Arial" w:eastAsia="Arial" w:hAnsi="Arial" w:cs="Arial"/>
          <w:sz w:val="24"/>
          <w:szCs w:val="24"/>
        </w:rPr>
        <w:t>d) Discente cujo grupo familiar seja formado por si só</w:t>
      </w:r>
      <w:r>
        <w:rPr>
          <w:rFonts w:ascii="Arial" w:eastAsia="Arial" w:hAnsi="Arial" w:cs="Arial"/>
          <w:color w:val="000000"/>
          <w:sz w:val="24"/>
          <w:szCs w:val="24"/>
        </w:rPr>
        <w:t>, deverá comprovar percepção de renda própria que suporte seus gastos, condizente com seu padrão de vida e de consumo, na Declaração de Desemprego.</w:t>
      </w:r>
    </w:p>
    <w:p w:rsidR="00E745EE" w:rsidRDefault="00E745EE" w:rsidP="00E745EE">
      <w:pPr>
        <w:pBdr>
          <w:top w:val="nil"/>
          <w:left w:val="nil"/>
          <w:bottom w:val="nil"/>
          <w:right w:val="nil"/>
          <w:between w:val="nil"/>
        </w:pBdr>
        <w:rPr>
          <w:rFonts w:ascii="Arial" w:eastAsia="Arial" w:hAnsi="Arial" w:cs="Arial"/>
          <w:color w:val="000000"/>
          <w:sz w:val="24"/>
          <w:szCs w:val="24"/>
        </w:rPr>
      </w:pPr>
    </w:p>
    <w:p w:rsidR="00E745EE" w:rsidRDefault="00E745EE" w:rsidP="00E745EE">
      <w:pPr>
        <w:pBdr>
          <w:top w:val="nil"/>
          <w:left w:val="nil"/>
          <w:bottom w:val="nil"/>
          <w:right w:val="nil"/>
          <w:between w:val="nil"/>
        </w:pBdr>
        <w:tabs>
          <w:tab w:val="left" w:pos="1740"/>
        </w:tabs>
        <w:jc w:val="both"/>
        <w:rPr>
          <w:rFonts w:ascii="Arial" w:eastAsia="Arial" w:hAnsi="Arial" w:cs="Arial"/>
          <w:color w:val="000000"/>
        </w:rPr>
      </w:pPr>
      <w:r>
        <w:rPr>
          <w:rFonts w:ascii="Arial" w:eastAsia="Arial" w:hAnsi="Arial" w:cs="Arial"/>
          <w:sz w:val="24"/>
          <w:szCs w:val="24"/>
        </w:rPr>
        <w:t xml:space="preserve">4. </w:t>
      </w:r>
      <w:r>
        <w:rPr>
          <w:rFonts w:ascii="Arial" w:eastAsia="Arial" w:hAnsi="Arial" w:cs="Arial"/>
          <w:color w:val="000000"/>
          <w:sz w:val="24"/>
          <w:szCs w:val="24"/>
        </w:rPr>
        <w:t>Situação de desemprego: Representa toda pessoa que não exerce atividade remunerada formal ou informal;</w:t>
      </w:r>
    </w:p>
    <w:p w:rsidR="00E745EE" w:rsidRDefault="00E745EE" w:rsidP="00E745EE">
      <w:pPr>
        <w:pBdr>
          <w:top w:val="nil"/>
          <w:left w:val="nil"/>
          <w:bottom w:val="nil"/>
          <w:right w:val="nil"/>
          <w:between w:val="nil"/>
        </w:pBdr>
        <w:tabs>
          <w:tab w:val="left" w:pos="1740"/>
        </w:tabs>
        <w:jc w:val="both"/>
        <w:rPr>
          <w:rFonts w:ascii="Arial" w:eastAsia="Arial" w:hAnsi="Arial" w:cs="Arial"/>
          <w:color w:val="000000"/>
        </w:rPr>
      </w:pPr>
      <w:r>
        <w:rPr>
          <w:rFonts w:ascii="Arial" w:eastAsia="Arial" w:hAnsi="Arial" w:cs="Arial"/>
          <w:sz w:val="24"/>
          <w:szCs w:val="24"/>
        </w:rPr>
        <w:t xml:space="preserve">5. </w:t>
      </w:r>
      <w:r>
        <w:rPr>
          <w:rFonts w:ascii="Arial" w:eastAsia="Arial" w:hAnsi="Arial" w:cs="Arial"/>
          <w:color w:val="000000"/>
          <w:sz w:val="24"/>
          <w:szCs w:val="24"/>
        </w:rPr>
        <w:t>Trabalhador autônomo e/ou informal: Toda pessoa que exerce atividade remunerada por conta própria, sem vínculo empregatício;</w:t>
      </w:r>
    </w:p>
    <w:p w:rsidR="00E745EE" w:rsidRDefault="00E745EE" w:rsidP="00E745EE">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6. Residência de origem: Local onde reside o núcleo familiar declarado no formulário socioeconômico do SAE;</w:t>
      </w:r>
    </w:p>
    <w:p w:rsidR="00E745EE" w:rsidRDefault="00E745EE" w:rsidP="00E745EE">
      <w:pPr>
        <w:pBdr>
          <w:top w:val="nil"/>
          <w:left w:val="nil"/>
          <w:bottom w:val="nil"/>
          <w:right w:val="nil"/>
          <w:between w:val="nil"/>
        </w:pBdr>
        <w:tabs>
          <w:tab w:val="left" w:pos="1739"/>
        </w:tabs>
        <w:rPr>
          <w:rFonts w:ascii="Arial" w:eastAsia="Arial" w:hAnsi="Arial" w:cs="Arial"/>
          <w:color w:val="000000"/>
          <w:sz w:val="24"/>
          <w:szCs w:val="24"/>
        </w:rPr>
      </w:pPr>
      <w:r>
        <w:rPr>
          <w:rFonts w:ascii="Arial" w:eastAsia="Arial" w:hAnsi="Arial" w:cs="Arial"/>
          <w:color w:val="000000"/>
          <w:sz w:val="24"/>
          <w:szCs w:val="24"/>
        </w:rPr>
        <w:t>7.</w:t>
      </w:r>
      <w:r>
        <w:rPr>
          <w:rFonts w:ascii="Arial" w:eastAsia="Arial" w:hAnsi="Arial" w:cs="Arial"/>
          <w:sz w:val="24"/>
          <w:szCs w:val="24"/>
        </w:rPr>
        <w:t xml:space="preserve"> </w:t>
      </w:r>
      <w:r>
        <w:rPr>
          <w:rFonts w:ascii="Arial" w:eastAsia="Arial" w:hAnsi="Arial" w:cs="Arial"/>
          <w:color w:val="000000"/>
          <w:sz w:val="24"/>
          <w:szCs w:val="24"/>
        </w:rPr>
        <w:t>Residência atual: Local onde cada discente passou a residir em virtude do curso de graduação.</w:t>
      </w:r>
    </w:p>
    <w:p w:rsidR="000F7DB3" w:rsidRDefault="00AE5918">
      <w:bookmarkStart w:id="0" w:name="_GoBack"/>
      <w:bookmarkEnd w:id="0"/>
    </w:p>
    <w:sectPr w:rsidR="000F7DB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918" w:rsidRDefault="00AE5918" w:rsidP="00E745EE">
      <w:r>
        <w:separator/>
      </w:r>
    </w:p>
  </w:endnote>
  <w:endnote w:type="continuationSeparator" w:id="0">
    <w:p w:rsidR="00AE5918" w:rsidRDefault="00AE5918" w:rsidP="00E7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918" w:rsidRDefault="00AE5918" w:rsidP="00E745EE">
      <w:r>
        <w:separator/>
      </w:r>
    </w:p>
  </w:footnote>
  <w:footnote w:type="continuationSeparator" w:id="0">
    <w:p w:rsidR="00AE5918" w:rsidRDefault="00AE5918" w:rsidP="00E74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EE" w:rsidRDefault="00E745EE" w:rsidP="00E745EE">
    <w:pPr>
      <w:pStyle w:val="Cabealho"/>
      <w:jc w:val="center"/>
    </w:pPr>
    <w:r>
      <w:rPr>
        <w:rFonts w:ascii="Calibri" w:eastAsia="Calibri" w:hAnsi="Calibri" w:cs="Calibri"/>
        <w:noProof/>
        <w:lang w:val="pt-BR"/>
      </w:rPr>
      <w:drawing>
        <wp:inline distT="0" distB="0" distL="0" distR="0" wp14:anchorId="0A8EEF82" wp14:editId="288715A3">
          <wp:extent cx="3208020" cy="812800"/>
          <wp:effectExtent l="0" t="0" r="0" b="0"/>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8020" cy="812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6AAA"/>
    <w:multiLevelType w:val="multilevel"/>
    <w:tmpl w:val="87E84090"/>
    <w:lvl w:ilvl="0">
      <w:start w:val="1"/>
      <w:numFmt w:val="decimal"/>
      <w:lvlText w:val="%1."/>
      <w:lvlJc w:val="left"/>
      <w:pPr>
        <w:ind w:left="1020" w:hanging="720"/>
      </w:pPr>
      <w:rPr>
        <w:rFonts w:ascii="Arial" w:eastAsia="Arial" w:hAnsi="Arial" w:cs="Arial"/>
        <w:sz w:val="24"/>
        <w:szCs w:val="24"/>
      </w:rPr>
    </w:lvl>
    <w:lvl w:ilvl="1">
      <w:numFmt w:val="bullet"/>
      <w:lvlText w:val="•"/>
      <w:lvlJc w:val="left"/>
      <w:pPr>
        <w:ind w:left="2008" w:hanging="720"/>
      </w:pPr>
    </w:lvl>
    <w:lvl w:ilvl="2">
      <w:numFmt w:val="bullet"/>
      <w:lvlText w:val="•"/>
      <w:lvlJc w:val="left"/>
      <w:pPr>
        <w:ind w:left="2996" w:hanging="720"/>
      </w:pPr>
    </w:lvl>
    <w:lvl w:ilvl="3">
      <w:numFmt w:val="bullet"/>
      <w:lvlText w:val="•"/>
      <w:lvlJc w:val="left"/>
      <w:pPr>
        <w:ind w:left="3984" w:hanging="720"/>
      </w:pPr>
    </w:lvl>
    <w:lvl w:ilvl="4">
      <w:numFmt w:val="bullet"/>
      <w:lvlText w:val="•"/>
      <w:lvlJc w:val="left"/>
      <w:pPr>
        <w:ind w:left="4972" w:hanging="720"/>
      </w:pPr>
    </w:lvl>
    <w:lvl w:ilvl="5">
      <w:numFmt w:val="bullet"/>
      <w:lvlText w:val="•"/>
      <w:lvlJc w:val="left"/>
      <w:pPr>
        <w:ind w:left="5960" w:hanging="720"/>
      </w:pPr>
    </w:lvl>
    <w:lvl w:ilvl="6">
      <w:numFmt w:val="bullet"/>
      <w:lvlText w:val="•"/>
      <w:lvlJc w:val="left"/>
      <w:pPr>
        <w:ind w:left="6948" w:hanging="720"/>
      </w:pPr>
    </w:lvl>
    <w:lvl w:ilvl="7">
      <w:numFmt w:val="bullet"/>
      <w:lvlText w:val="•"/>
      <w:lvlJc w:val="left"/>
      <w:pPr>
        <w:ind w:left="7936" w:hanging="720"/>
      </w:pPr>
    </w:lvl>
    <w:lvl w:ilvl="8">
      <w:numFmt w:val="bullet"/>
      <w:lvlText w:val="•"/>
      <w:lvlJc w:val="left"/>
      <w:pPr>
        <w:ind w:left="8924" w:hanging="720"/>
      </w:pPr>
    </w:lvl>
  </w:abstractNum>
  <w:abstractNum w:abstractNumId="1" w15:restartNumberingAfterBreak="0">
    <w:nsid w:val="1E4E4AFD"/>
    <w:multiLevelType w:val="hybridMultilevel"/>
    <w:tmpl w:val="3520987C"/>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15:restartNumberingAfterBreak="0">
    <w:nsid w:val="24B60D11"/>
    <w:multiLevelType w:val="multilevel"/>
    <w:tmpl w:val="DE4EF050"/>
    <w:lvl w:ilvl="0">
      <w:start w:val="1"/>
      <w:numFmt w:val="lowerLetter"/>
      <w:lvlText w:val="%1)"/>
      <w:lvlJc w:val="left"/>
      <w:pPr>
        <w:ind w:left="1740" w:hanging="720"/>
      </w:pPr>
      <w:rPr>
        <w:rFonts w:ascii="Times New Roman" w:eastAsia="Times New Roman" w:hAnsi="Times New Roman" w:cs="Times New Roman"/>
        <w:sz w:val="24"/>
        <w:szCs w:val="24"/>
      </w:rPr>
    </w:lvl>
    <w:lvl w:ilvl="1">
      <w:numFmt w:val="bullet"/>
      <w:lvlText w:val="•"/>
      <w:lvlJc w:val="left"/>
      <w:pPr>
        <w:ind w:left="2656" w:hanging="718"/>
      </w:pPr>
    </w:lvl>
    <w:lvl w:ilvl="2">
      <w:numFmt w:val="bullet"/>
      <w:lvlText w:val="•"/>
      <w:lvlJc w:val="left"/>
      <w:pPr>
        <w:ind w:left="3572" w:hanging="720"/>
      </w:pPr>
    </w:lvl>
    <w:lvl w:ilvl="3">
      <w:numFmt w:val="bullet"/>
      <w:lvlText w:val="•"/>
      <w:lvlJc w:val="left"/>
      <w:pPr>
        <w:ind w:left="4488" w:hanging="720"/>
      </w:pPr>
    </w:lvl>
    <w:lvl w:ilvl="4">
      <w:numFmt w:val="bullet"/>
      <w:lvlText w:val="•"/>
      <w:lvlJc w:val="left"/>
      <w:pPr>
        <w:ind w:left="5404" w:hanging="720"/>
      </w:pPr>
    </w:lvl>
    <w:lvl w:ilvl="5">
      <w:numFmt w:val="bullet"/>
      <w:lvlText w:val="•"/>
      <w:lvlJc w:val="left"/>
      <w:pPr>
        <w:ind w:left="6320" w:hanging="720"/>
      </w:pPr>
    </w:lvl>
    <w:lvl w:ilvl="6">
      <w:numFmt w:val="bullet"/>
      <w:lvlText w:val="•"/>
      <w:lvlJc w:val="left"/>
      <w:pPr>
        <w:ind w:left="7236" w:hanging="720"/>
      </w:pPr>
    </w:lvl>
    <w:lvl w:ilvl="7">
      <w:numFmt w:val="bullet"/>
      <w:lvlText w:val="•"/>
      <w:lvlJc w:val="left"/>
      <w:pPr>
        <w:ind w:left="8152" w:hanging="720"/>
      </w:pPr>
    </w:lvl>
    <w:lvl w:ilvl="8">
      <w:numFmt w:val="bullet"/>
      <w:lvlText w:val="•"/>
      <w:lvlJc w:val="left"/>
      <w:pPr>
        <w:ind w:left="9068" w:hanging="720"/>
      </w:pPr>
    </w:lvl>
  </w:abstractNum>
  <w:abstractNum w:abstractNumId="3" w15:restartNumberingAfterBreak="0">
    <w:nsid w:val="302113C3"/>
    <w:multiLevelType w:val="hybridMultilevel"/>
    <w:tmpl w:val="1292C1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7B028EC"/>
    <w:multiLevelType w:val="multilevel"/>
    <w:tmpl w:val="40264A98"/>
    <w:lvl w:ilvl="0">
      <w:start w:val="1"/>
      <w:numFmt w:val="lowerLetter"/>
      <w:lvlText w:val="%1)"/>
      <w:lvlJc w:val="left"/>
      <w:pPr>
        <w:ind w:left="1020" w:hanging="720"/>
      </w:pPr>
      <w:rPr>
        <w:rFonts w:ascii="Times New Roman" w:eastAsia="Times New Roman" w:hAnsi="Times New Roman" w:cs="Times New Roman"/>
        <w:sz w:val="24"/>
        <w:szCs w:val="24"/>
      </w:rPr>
    </w:lvl>
    <w:lvl w:ilvl="1">
      <w:numFmt w:val="bullet"/>
      <w:lvlText w:val="•"/>
      <w:lvlJc w:val="left"/>
      <w:pPr>
        <w:ind w:left="2008" w:hanging="720"/>
      </w:pPr>
    </w:lvl>
    <w:lvl w:ilvl="2">
      <w:numFmt w:val="bullet"/>
      <w:lvlText w:val="•"/>
      <w:lvlJc w:val="left"/>
      <w:pPr>
        <w:ind w:left="2996" w:hanging="720"/>
      </w:pPr>
    </w:lvl>
    <w:lvl w:ilvl="3">
      <w:numFmt w:val="bullet"/>
      <w:lvlText w:val="•"/>
      <w:lvlJc w:val="left"/>
      <w:pPr>
        <w:ind w:left="3984" w:hanging="720"/>
      </w:pPr>
    </w:lvl>
    <w:lvl w:ilvl="4">
      <w:numFmt w:val="bullet"/>
      <w:lvlText w:val="•"/>
      <w:lvlJc w:val="left"/>
      <w:pPr>
        <w:ind w:left="4972" w:hanging="720"/>
      </w:pPr>
    </w:lvl>
    <w:lvl w:ilvl="5">
      <w:numFmt w:val="bullet"/>
      <w:lvlText w:val="•"/>
      <w:lvlJc w:val="left"/>
      <w:pPr>
        <w:ind w:left="5960" w:hanging="720"/>
      </w:pPr>
    </w:lvl>
    <w:lvl w:ilvl="6">
      <w:numFmt w:val="bullet"/>
      <w:lvlText w:val="•"/>
      <w:lvlJc w:val="left"/>
      <w:pPr>
        <w:ind w:left="6948" w:hanging="720"/>
      </w:pPr>
    </w:lvl>
    <w:lvl w:ilvl="7">
      <w:numFmt w:val="bullet"/>
      <w:lvlText w:val="•"/>
      <w:lvlJc w:val="left"/>
      <w:pPr>
        <w:ind w:left="7936" w:hanging="720"/>
      </w:pPr>
    </w:lvl>
    <w:lvl w:ilvl="8">
      <w:numFmt w:val="bullet"/>
      <w:lvlText w:val="•"/>
      <w:lvlJc w:val="left"/>
      <w:pPr>
        <w:ind w:left="8924" w:hanging="720"/>
      </w:pPr>
    </w:lvl>
  </w:abstractNum>
  <w:abstractNum w:abstractNumId="5" w15:restartNumberingAfterBreak="0">
    <w:nsid w:val="56845D81"/>
    <w:multiLevelType w:val="multilevel"/>
    <w:tmpl w:val="B372D2B8"/>
    <w:lvl w:ilvl="0">
      <w:start w:val="1"/>
      <w:numFmt w:val="upperRoman"/>
      <w:lvlText w:val="%1"/>
      <w:lvlJc w:val="left"/>
      <w:pPr>
        <w:ind w:left="1740" w:hanging="720"/>
      </w:pPr>
      <w:rPr>
        <w:rFonts w:ascii="Times New Roman" w:eastAsia="Times New Roman" w:hAnsi="Times New Roman" w:cs="Times New Roman"/>
        <w:sz w:val="24"/>
        <w:szCs w:val="24"/>
      </w:rPr>
    </w:lvl>
    <w:lvl w:ilvl="1">
      <w:numFmt w:val="bullet"/>
      <w:lvlText w:val="•"/>
      <w:lvlJc w:val="left"/>
      <w:pPr>
        <w:ind w:left="2656" w:hanging="718"/>
      </w:pPr>
    </w:lvl>
    <w:lvl w:ilvl="2">
      <w:numFmt w:val="bullet"/>
      <w:lvlText w:val="•"/>
      <w:lvlJc w:val="left"/>
      <w:pPr>
        <w:ind w:left="3572" w:hanging="720"/>
      </w:pPr>
    </w:lvl>
    <w:lvl w:ilvl="3">
      <w:numFmt w:val="bullet"/>
      <w:lvlText w:val="•"/>
      <w:lvlJc w:val="left"/>
      <w:pPr>
        <w:ind w:left="4488" w:hanging="720"/>
      </w:pPr>
    </w:lvl>
    <w:lvl w:ilvl="4">
      <w:numFmt w:val="bullet"/>
      <w:lvlText w:val="•"/>
      <w:lvlJc w:val="left"/>
      <w:pPr>
        <w:ind w:left="5404" w:hanging="720"/>
      </w:pPr>
    </w:lvl>
    <w:lvl w:ilvl="5">
      <w:numFmt w:val="bullet"/>
      <w:lvlText w:val="•"/>
      <w:lvlJc w:val="left"/>
      <w:pPr>
        <w:ind w:left="6320" w:hanging="720"/>
      </w:pPr>
    </w:lvl>
    <w:lvl w:ilvl="6">
      <w:numFmt w:val="bullet"/>
      <w:lvlText w:val="•"/>
      <w:lvlJc w:val="left"/>
      <w:pPr>
        <w:ind w:left="7236" w:hanging="720"/>
      </w:pPr>
    </w:lvl>
    <w:lvl w:ilvl="7">
      <w:numFmt w:val="bullet"/>
      <w:lvlText w:val="•"/>
      <w:lvlJc w:val="left"/>
      <w:pPr>
        <w:ind w:left="8152" w:hanging="720"/>
      </w:pPr>
    </w:lvl>
    <w:lvl w:ilvl="8">
      <w:numFmt w:val="bullet"/>
      <w:lvlText w:val="•"/>
      <w:lvlJc w:val="left"/>
      <w:pPr>
        <w:ind w:left="9068" w:hanging="720"/>
      </w:pPr>
    </w:lvl>
  </w:abstractNum>
  <w:abstractNum w:abstractNumId="6" w15:restartNumberingAfterBreak="0">
    <w:nsid w:val="61D85CFB"/>
    <w:multiLevelType w:val="multilevel"/>
    <w:tmpl w:val="A8D6B332"/>
    <w:lvl w:ilvl="0">
      <w:start w:val="1"/>
      <w:numFmt w:val="upperRoman"/>
      <w:lvlText w:val="%1"/>
      <w:lvlJc w:val="left"/>
      <w:pPr>
        <w:ind w:left="1020" w:hanging="720"/>
      </w:pPr>
      <w:rPr>
        <w:rFonts w:ascii="Times New Roman" w:eastAsia="Times New Roman" w:hAnsi="Times New Roman" w:cs="Times New Roman"/>
        <w:sz w:val="24"/>
        <w:szCs w:val="24"/>
      </w:rPr>
    </w:lvl>
    <w:lvl w:ilvl="1">
      <w:numFmt w:val="bullet"/>
      <w:lvlText w:val="•"/>
      <w:lvlJc w:val="left"/>
      <w:pPr>
        <w:ind w:left="2008" w:hanging="720"/>
      </w:pPr>
    </w:lvl>
    <w:lvl w:ilvl="2">
      <w:numFmt w:val="bullet"/>
      <w:lvlText w:val="•"/>
      <w:lvlJc w:val="left"/>
      <w:pPr>
        <w:ind w:left="2996" w:hanging="720"/>
      </w:pPr>
    </w:lvl>
    <w:lvl w:ilvl="3">
      <w:numFmt w:val="bullet"/>
      <w:lvlText w:val="•"/>
      <w:lvlJc w:val="left"/>
      <w:pPr>
        <w:ind w:left="3984" w:hanging="720"/>
      </w:pPr>
    </w:lvl>
    <w:lvl w:ilvl="4">
      <w:numFmt w:val="bullet"/>
      <w:lvlText w:val="•"/>
      <w:lvlJc w:val="left"/>
      <w:pPr>
        <w:ind w:left="4972" w:hanging="720"/>
      </w:pPr>
    </w:lvl>
    <w:lvl w:ilvl="5">
      <w:numFmt w:val="bullet"/>
      <w:lvlText w:val="•"/>
      <w:lvlJc w:val="left"/>
      <w:pPr>
        <w:ind w:left="5960" w:hanging="720"/>
      </w:pPr>
    </w:lvl>
    <w:lvl w:ilvl="6">
      <w:numFmt w:val="bullet"/>
      <w:lvlText w:val="•"/>
      <w:lvlJc w:val="left"/>
      <w:pPr>
        <w:ind w:left="6948" w:hanging="720"/>
      </w:pPr>
    </w:lvl>
    <w:lvl w:ilvl="7">
      <w:numFmt w:val="bullet"/>
      <w:lvlText w:val="•"/>
      <w:lvlJc w:val="left"/>
      <w:pPr>
        <w:ind w:left="7936" w:hanging="720"/>
      </w:pPr>
    </w:lvl>
    <w:lvl w:ilvl="8">
      <w:numFmt w:val="bullet"/>
      <w:lvlText w:val="•"/>
      <w:lvlJc w:val="left"/>
      <w:pPr>
        <w:ind w:left="8924" w:hanging="720"/>
      </w:p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EE"/>
    <w:rsid w:val="0025058D"/>
    <w:rsid w:val="00AE5918"/>
    <w:rsid w:val="00C7776D"/>
    <w:rsid w:val="00E74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FB25"/>
  <w15:chartTrackingRefBased/>
  <w15:docId w15:val="{82556363-4168-4691-8179-E5968D5F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5EE"/>
    <w:pPr>
      <w:widowControl w:val="0"/>
      <w:spacing w:after="0" w:line="240" w:lineRule="auto"/>
    </w:pPr>
    <w:rPr>
      <w:rFonts w:ascii="Arial MT" w:eastAsia="Arial MT" w:hAnsi="Arial MT" w:cs="Arial MT"/>
      <w:lang w:val="pt-PT" w:eastAsia="pt-BR"/>
    </w:rPr>
  </w:style>
  <w:style w:type="paragraph" w:styleId="Ttulo1">
    <w:name w:val="heading 1"/>
    <w:basedOn w:val="Normal"/>
    <w:link w:val="Ttulo1Char"/>
    <w:uiPriority w:val="9"/>
    <w:qFormat/>
    <w:rsid w:val="00E745EE"/>
    <w:pPr>
      <w:ind w:left="1089" w:right="877"/>
      <w:jc w:val="center"/>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45EE"/>
    <w:pPr>
      <w:tabs>
        <w:tab w:val="center" w:pos="4252"/>
        <w:tab w:val="right" w:pos="8504"/>
      </w:tabs>
    </w:pPr>
  </w:style>
  <w:style w:type="character" w:customStyle="1" w:styleId="CabealhoChar">
    <w:name w:val="Cabeçalho Char"/>
    <w:basedOn w:val="Fontepargpadro"/>
    <w:link w:val="Cabealho"/>
    <w:uiPriority w:val="99"/>
    <w:rsid w:val="00E745EE"/>
  </w:style>
  <w:style w:type="paragraph" w:styleId="Rodap">
    <w:name w:val="footer"/>
    <w:basedOn w:val="Normal"/>
    <w:link w:val="RodapChar"/>
    <w:uiPriority w:val="99"/>
    <w:unhideWhenUsed/>
    <w:rsid w:val="00E745EE"/>
    <w:pPr>
      <w:tabs>
        <w:tab w:val="center" w:pos="4252"/>
        <w:tab w:val="right" w:pos="8504"/>
      </w:tabs>
    </w:pPr>
  </w:style>
  <w:style w:type="character" w:customStyle="1" w:styleId="RodapChar">
    <w:name w:val="Rodapé Char"/>
    <w:basedOn w:val="Fontepargpadro"/>
    <w:link w:val="Rodap"/>
    <w:uiPriority w:val="99"/>
    <w:rsid w:val="00E745EE"/>
  </w:style>
  <w:style w:type="character" w:customStyle="1" w:styleId="Ttulo1Char">
    <w:name w:val="Título 1 Char"/>
    <w:basedOn w:val="Fontepargpadro"/>
    <w:link w:val="Ttulo1"/>
    <w:uiPriority w:val="9"/>
    <w:rsid w:val="00E745EE"/>
    <w:rPr>
      <w:rFonts w:ascii="Arial" w:eastAsia="Arial" w:hAnsi="Arial" w:cs="Arial"/>
      <w:b/>
      <w:bCs/>
      <w:sz w:val="24"/>
      <w:szCs w:val="24"/>
      <w:lang w:val="pt-PT" w:eastAsia="pt-BR"/>
    </w:rPr>
  </w:style>
  <w:style w:type="paragraph" w:styleId="PargrafodaLista">
    <w:name w:val="List Paragraph"/>
    <w:basedOn w:val="Normal"/>
    <w:uiPriority w:val="34"/>
    <w:qFormat/>
    <w:rsid w:val="00E74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walisondesousacosta</dc:creator>
  <cp:keywords/>
  <dc:description/>
  <cp:lastModifiedBy>walisondesousacosta</cp:lastModifiedBy>
  <cp:revision>1</cp:revision>
  <dcterms:created xsi:type="dcterms:W3CDTF">2023-09-14T12:28:00Z</dcterms:created>
  <dcterms:modified xsi:type="dcterms:W3CDTF">2023-09-14T12:33:00Z</dcterms:modified>
</cp:coreProperties>
</file>